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24 42 vom 16. August 2022</w:t>
      </w:r>
    </w:p>
    <w:p>
      <w:r>
        <w:t>BL Gerichte, 2022-08-16, DE</w:t>
      </w:r>
    </w:p>
    <w:p>
      <w:r>
        <w:rPr>
          <w:b/>
        </w:rPr>
        <w:t xml:space="preserve">Quelle: </w:t>
      </w:r>
      <w:r>
        <w:t>https://mcp.opencaselaw.ch/entscheid/bl_gerichte_720 24 42</w:t>
      </w:r>
    </w:p>
    <w:p>
      <w:r>
        <w:t>FR: BL_GERICHTE 720 24 42 du 16 août 2022</w:t>
      </w:r>
    </w:p>
    <w:p>
      <w:r>
        <w:t>IT: BL_GERICHTE 720 24 42 del 16 agosto 2022</w:t>
      </w:r>
    </w:p>
    <w:p>
      <w:pPr>
        <w:pStyle w:val="Heading2"/>
      </w:pPr>
      <w:r>
        <w:t>Regeste</w:t>
      </w:r>
    </w:p>
    <w:p>
      <w:r>
        <w:t>Zumutbarer Berufswechsel von einer selbstständigen zu einer unselbstständigen Erwerbstätigkeit; Ermittlung des massgebenden Valideneinkommens einer selbstständigerwerbenden Coiffeuse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IV-Stelle Basel-Landschaft, so 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frist- und formgerecht erhobene Beschwerde der Versicherten vom 14. Februar 2024 ist demnach einzutreten.</w:t>
      </w:r>
    </w:p>
    <w:p>
      <w:r>
        <w:rPr>
          <w:b/>
        </w:rPr>
        <w:t>E. 2</w:t>
      </w:r>
    </w:p>
    <w:p>
      <w:r>
        <w:t>Die Verfahrenskosten in der Höhe von Fr. 800.-- werden im Umfang von Fr. 600.-- der Beschwerdeführerin und im Umfang von Fr. 200.-- der IV-Stelle Basel-Landschaft auferlegt. Der Beschwerdeführerin wird der zu viel geleistete Kostenvorschuss in Höhe von Fr. 200.-- zurückerstattet.</w:t>
      </w:r>
    </w:p>
    <w:p>
      <w:r>
        <w:rPr>
          <w:b/>
        </w:rPr>
        <w:t>E. 3</w:t>
      </w:r>
    </w:p>
    <w:p>
      <w:r>
        <w:t>Die IV-Stelle Basel-Landschaft hat der Beschwerdeführerin eine reduzierte Parteientschädigung in der Höhe von Fr. 544.-- (inkl. Auslagen und 8,1 % Mehrwertsteuer) zu bezahlen. Im Übrigen werden die ausserordentlichen Kosten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